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16D9D" w14:textId="01596BFE" w:rsidR="00787BAE" w:rsidRPr="00F8538E" w:rsidRDefault="00787BAE" w:rsidP="00787BAE">
      <w:pPr>
        <w:spacing w:after="0" w:line="276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40809">
        <w:rPr>
          <w:rFonts w:ascii="Times New Roman" w:hAnsi="Times New Roman" w:cs="Times New Roman"/>
          <w:sz w:val="24"/>
          <w:szCs w:val="24"/>
        </w:rPr>
        <w:t>O Sistema da Dívida e os mecanismos que geram dívida</w:t>
      </w:r>
    </w:p>
    <w:p w14:paraId="2BA3009E" w14:textId="04970FFB" w:rsidR="00787BAE" w:rsidRPr="00F8538E" w:rsidRDefault="00787BAE" w:rsidP="00635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D0C9D3" w14:textId="77777777" w:rsidR="00787BAE" w:rsidRPr="00F8538E" w:rsidRDefault="00787BAE" w:rsidP="00635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DCF892" w14:textId="43AA40DD" w:rsidR="007E6D24" w:rsidRPr="00F8538E" w:rsidRDefault="00D57A7C" w:rsidP="00787B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38E">
        <w:rPr>
          <w:rFonts w:ascii="Times New Roman" w:hAnsi="Times New Roman" w:cs="Times New Roman"/>
          <w:sz w:val="24"/>
          <w:szCs w:val="24"/>
        </w:rPr>
        <w:t>A partir da década de 70 tivemos um conjunto de transformações no mundo</w:t>
      </w:r>
      <w:r w:rsidR="007B15F8" w:rsidRPr="00F8538E">
        <w:rPr>
          <w:rFonts w:ascii="Times New Roman" w:hAnsi="Times New Roman" w:cs="Times New Roman"/>
          <w:sz w:val="24"/>
          <w:szCs w:val="24"/>
        </w:rPr>
        <w:t xml:space="preserve">, </w:t>
      </w:r>
      <w:r w:rsidR="000D53BC" w:rsidRPr="00F8538E">
        <w:rPr>
          <w:rFonts w:ascii="Times New Roman" w:hAnsi="Times New Roman" w:cs="Times New Roman"/>
          <w:sz w:val="24"/>
          <w:szCs w:val="24"/>
        </w:rPr>
        <w:t>ganh</w:t>
      </w:r>
      <w:r w:rsidR="007B15F8" w:rsidRPr="00F8538E">
        <w:rPr>
          <w:rFonts w:ascii="Times New Roman" w:hAnsi="Times New Roman" w:cs="Times New Roman"/>
          <w:sz w:val="24"/>
          <w:szCs w:val="24"/>
        </w:rPr>
        <w:t>ando</w:t>
      </w:r>
      <w:r w:rsidR="000D53BC" w:rsidRPr="00F8538E">
        <w:rPr>
          <w:rFonts w:ascii="Times New Roman" w:hAnsi="Times New Roman" w:cs="Times New Roman"/>
          <w:sz w:val="24"/>
          <w:szCs w:val="24"/>
        </w:rPr>
        <w:t xml:space="preserve"> ascensão</w:t>
      </w:r>
      <w:r w:rsidRPr="00F8538E">
        <w:rPr>
          <w:rFonts w:ascii="Times New Roman" w:hAnsi="Times New Roman" w:cs="Times New Roman"/>
          <w:sz w:val="24"/>
          <w:szCs w:val="24"/>
        </w:rPr>
        <w:t xml:space="preserve"> o que ficou conhecido por neoliberalismo. Um dos traços marcantes das transformações que ocorreram foi o aumento do poder do setor financeiro, processo que </w:t>
      </w:r>
      <w:r w:rsidR="00194E9A" w:rsidRPr="00F8538E">
        <w:rPr>
          <w:rFonts w:ascii="Times New Roman" w:hAnsi="Times New Roman" w:cs="Times New Roman"/>
          <w:sz w:val="24"/>
          <w:szCs w:val="24"/>
        </w:rPr>
        <w:t>contribuiu para a</w:t>
      </w:r>
      <w:r w:rsidRPr="00F8538E">
        <w:rPr>
          <w:rFonts w:ascii="Times New Roman" w:hAnsi="Times New Roman" w:cs="Times New Roman"/>
          <w:sz w:val="24"/>
          <w:szCs w:val="24"/>
        </w:rPr>
        <w:t xml:space="preserve"> financeirização. </w:t>
      </w:r>
    </w:p>
    <w:p w14:paraId="436D1C42" w14:textId="0C377D27" w:rsidR="00D57A7C" w:rsidRPr="00F8538E" w:rsidRDefault="00D57A7C" w:rsidP="00635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38E">
        <w:rPr>
          <w:rFonts w:ascii="Times New Roman" w:hAnsi="Times New Roman" w:cs="Times New Roman"/>
          <w:sz w:val="24"/>
          <w:szCs w:val="24"/>
        </w:rPr>
        <w:t xml:space="preserve">Um dos mecanismos para os setores financeiros terem aumentado o seu poder foi através de </w:t>
      </w:r>
      <w:r w:rsidR="00635E3F" w:rsidRPr="00F8538E">
        <w:rPr>
          <w:rFonts w:ascii="Times New Roman" w:hAnsi="Times New Roman" w:cs="Times New Roman"/>
          <w:sz w:val="24"/>
          <w:szCs w:val="24"/>
        </w:rPr>
        <w:t>dívidas</w:t>
      </w:r>
      <w:r w:rsidRPr="00F8538E">
        <w:rPr>
          <w:rFonts w:ascii="Times New Roman" w:hAnsi="Times New Roman" w:cs="Times New Roman"/>
          <w:sz w:val="24"/>
          <w:szCs w:val="24"/>
        </w:rPr>
        <w:t xml:space="preserve"> dos Estados</w:t>
      </w:r>
      <w:r w:rsidR="000D53BC" w:rsidRPr="00F8538E">
        <w:rPr>
          <w:rFonts w:ascii="Times New Roman" w:hAnsi="Times New Roman" w:cs="Times New Roman"/>
          <w:sz w:val="24"/>
          <w:szCs w:val="24"/>
        </w:rPr>
        <w:t>,</w:t>
      </w:r>
      <w:r w:rsidR="00635E3F" w:rsidRPr="00F8538E">
        <w:rPr>
          <w:rFonts w:ascii="Times New Roman" w:hAnsi="Times New Roman" w:cs="Times New Roman"/>
          <w:sz w:val="24"/>
          <w:szCs w:val="24"/>
        </w:rPr>
        <w:t xml:space="preserve"> muitas </w:t>
      </w:r>
      <w:r w:rsidR="00294D9F" w:rsidRPr="00F8538E">
        <w:rPr>
          <w:rFonts w:ascii="Times New Roman" w:hAnsi="Times New Roman" w:cs="Times New Roman"/>
          <w:sz w:val="24"/>
          <w:szCs w:val="24"/>
        </w:rPr>
        <w:t>vezes</w:t>
      </w:r>
      <w:r w:rsidR="00635E3F" w:rsidRPr="00F8538E">
        <w:rPr>
          <w:rFonts w:ascii="Times New Roman" w:hAnsi="Times New Roman" w:cs="Times New Roman"/>
          <w:sz w:val="24"/>
          <w:szCs w:val="24"/>
        </w:rPr>
        <w:t xml:space="preserve"> contraídas tendo como único objetivo satisfazer os interesses de grupos financeiros. Os Estados, cada vez mais endividados, retiram recursos de áreas sociais para destinarem para o pagamento da </w:t>
      </w:r>
      <w:r w:rsidR="00787BAE" w:rsidRPr="00B64E4A">
        <w:rPr>
          <w:rFonts w:ascii="Times New Roman" w:hAnsi="Times New Roman" w:cs="Times New Roman"/>
          <w:sz w:val="24"/>
          <w:szCs w:val="24"/>
        </w:rPr>
        <w:t>“</w:t>
      </w:r>
      <w:r w:rsidR="00B07D93" w:rsidRPr="00B64E4A">
        <w:rPr>
          <w:rFonts w:ascii="Times New Roman" w:hAnsi="Times New Roman" w:cs="Times New Roman"/>
          <w:sz w:val="24"/>
          <w:szCs w:val="24"/>
        </w:rPr>
        <w:t>dívida</w:t>
      </w:r>
      <w:r w:rsidR="00635E3F" w:rsidRPr="00F8538E">
        <w:rPr>
          <w:rFonts w:ascii="Times New Roman" w:hAnsi="Times New Roman" w:cs="Times New Roman"/>
          <w:sz w:val="24"/>
          <w:szCs w:val="24"/>
        </w:rPr>
        <w:t xml:space="preserve"> pública”. A dívida, n</w:t>
      </w:r>
      <w:r w:rsidR="000C2613" w:rsidRPr="00F8538E">
        <w:rPr>
          <w:rFonts w:ascii="Times New Roman" w:hAnsi="Times New Roman" w:cs="Times New Roman"/>
          <w:sz w:val="24"/>
          <w:szCs w:val="24"/>
        </w:rPr>
        <w:t>o atual curso do</w:t>
      </w:r>
      <w:r w:rsidR="00635E3F" w:rsidRPr="00F8538E">
        <w:rPr>
          <w:rFonts w:ascii="Times New Roman" w:hAnsi="Times New Roman" w:cs="Times New Roman"/>
          <w:sz w:val="24"/>
          <w:szCs w:val="24"/>
        </w:rPr>
        <w:t xml:space="preserve"> capitalismo, se tornou um instrumento de dominação</w:t>
      </w:r>
      <w:r w:rsidR="00294D9F" w:rsidRPr="00F8538E">
        <w:rPr>
          <w:rFonts w:ascii="Times New Roman" w:hAnsi="Times New Roman" w:cs="Times New Roman"/>
          <w:sz w:val="24"/>
          <w:szCs w:val="24"/>
        </w:rPr>
        <w:t>,</w:t>
      </w:r>
      <w:r w:rsidR="00635E3F" w:rsidRPr="00F8538E">
        <w:rPr>
          <w:rFonts w:ascii="Times New Roman" w:hAnsi="Times New Roman" w:cs="Times New Roman"/>
          <w:sz w:val="24"/>
          <w:szCs w:val="24"/>
        </w:rPr>
        <w:t xml:space="preserve"> evidenciando a existência de um “Sistema da Dívida” que beneficia os setores financeiros em detrimento de recursos públicos.</w:t>
      </w:r>
    </w:p>
    <w:p w14:paraId="097EF056" w14:textId="64208ABE" w:rsidR="00A866FA" w:rsidRDefault="00422270" w:rsidP="00635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38E">
        <w:rPr>
          <w:rFonts w:ascii="Times New Roman" w:hAnsi="Times New Roman" w:cs="Times New Roman"/>
          <w:sz w:val="24"/>
          <w:szCs w:val="24"/>
        </w:rPr>
        <w:t>No Brasil</w:t>
      </w:r>
      <w:r w:rsidR="00E47733" w:rsidRPr="00F8538E">
        <w:rPr>
          <w:rFonts w:ascii="Times New Roman" w:hAnsi="Times New Roman" w:cs="Times New Roman"/>
          <w:sz w:val="24"/>
          <w:szCs w:val="24"/>
        </w:rPr>
        <w:t>, no ano de 2020, ano de pandemia, conforme o gráfico da Auditória Cidadã da Dívida</w:t>
      </w:r>
      <w:r w:rsidR="002D01CD" w:rsidRPr="00F8538E">
        <w:rPr>
          <w:rFonts w:ascii="Times New Roman" w:hAnsi="Times New Roman" w:cs="Times New Roman"/>
          <w:sz w:val="24"/>
          <w:szCs w:val="24"/>
        </w:rPr>
        <w:t xml:space="preserve"> </w:t>
      </w:r>
      <w:r w:rsidR="002D01CD" w:rsidRPr="001344EE">
        <w:rPr>
          <w:rFonts w:ascii="Times New Roman" w:hAnsi="Times New Roman" w:cs="Times New Roman"/>
          <w:color w:val="4472C4" w:themeColor="accent1"/>
          <w:sz w:val="24"/>
          <w:szCs w:val="24"/>
        </w:rPr>
        <w:t>(</w:t>
      </w:r>
      <w:hyperlink r:id="rId8" w:history="1">
        <w:r w:rsidR="002D01CD" w:rsidRPr="001344EE">
          <w:rPr>
            <w:rStyle w:val="Hyperlink"/>
            <w:rFonts w:ascii="Times New Roman" w:hAnsi="Times New Roman" w:cs="Times New Roman"/>
            <w:color w:val="4472C4" w:themeColor="accent1"/>
            <w:sz w:val="24"/>
            <w:szCs w:val="24"/>
          </w:rPr>
          <w:t>i</w:t>
        </w:r>
      </w:hyperlink>
      <w:r w:rsidR="002D01CD" w:rsidRPr="001344EE">
        <w:rPr>
          <w:rFonts w:ascii="Times New Roman" w:hAnsi="Times New Roman" w:cs="Times New Roman"/>
          <w:color w:val="4472C4" w:themeColor="accent1"/>
          <w:sz w:val="24"/>
          <w:szCs w:val="24"/>
        </w:rPr>
        <w:t>)</w:t>
      </w:r>
      <w:r w:rsidR="00E47733" w:rsidRPr="00F8538E">
        <w:rPr>
          <w:rFonts w:ascii="Times New Roman" w:hAnsi="Times New Roman" w:cs="Times New Roman"/>
          <w:sz w:val="24"/>
          <w:szCs w:val="24"/>
        </w:rPr>
        <w:t xml:space="preserve">, o país aumentou o gasto com a </w:t>
      </w:r>
      <w:r w:rsidR="00B07D93" w:rsidRPr="00B64E4A">
        <w:rPr>
          <w:rFonts w:ascii="Times New Roman" w:hAnsi="Times New Roman" w:cs="Times New Roman"/>
          <w:sz w:val="24"/>
          <w:szCs w:val="24"/>
        </w:rPr>
        <w:t>dívida</w:t>
      </w:r>
      <w:r w:rsidR="00E47733" w:rsidRPr="00F8538E">
        <w:rPr>
          <w:rFonts w:ascii="Times New Roman" w:hAnsi="Times New Roman" w:cs="Times New Roman"/>
          <w:sz w:val="24"/>
          <w:szCs w:val="24"/>
        </w:rPr>
        <w:t xml:space="preserve"> em 33,04% em comparação com o ano anterior, correspondendo a 39,08% do orçamento federal executado</w:t>
      </w:r>
      <w:r w:rsidR="00D15288" w:rsidRPr="00F8538E">
        <w:rPr>
          <w:rFonts w:ascii="Times New Roman" w:hAnsi="Times New Roman" w:cs="Times New Roman"/>
          <w:sz w:val="24"/>
          <w:szCs w:val="24"/>
        </w:rPr>
        <w:t xml:space="preserve"> durante o ano</w:t>
      </w:r>
      <w:r w:rsidR="00E47733" w:rsidRPr="00F8538E">
        <w:rPr>
          <w:rFonts w:ascii="Times New Roman" w:hAnsi="Times New Roman" w:cs="Times New Roman"/>
          <w:sz w:val="24"/>
          <w:szCs w:val="24"/>
        </w:rPr>
        <w:t>,</w:t>
      </w:r>
      <w:r w:rsidR="00D15288" w:rsidRPr="00F8538E">
        <w:rPr>
          <w:rFonts w:ascii="Times New Roman" w:hAnsi="Times New Roman" w:cs="Times New Roman"/>
          <w:sz w:val="24"/>
          <w:szCs w:val="24"/>
        </w:rPr>
        <w:t xml:space="preserve"> </w:t>
      </w:r>
      <w:r w:rsidR="00B07D93" w:rsidRPr="00B64E4A">
        <w:rPr>
          <w:rFonts w:ascii="Times New Roman" w:hAnsi="Times New Roman" w:cs="Times New Roman"/>
          <w:sz w:val="24"/>
          <w:szCs w:val="24"/>
        </w:rPr>
        <w:t>valor</w:t>
      </w:r>
      <w:r w:rsidR="00B07D93" w:rsidRPr="00F8538E">
        <w:rPr>
          <w:rFonts w:ascii="Times New Roman" w:hAnsi="Times New Roman" w:cs="Times New Roman"/>
          <w:sz w:val="24"/>
          <w:szCs w:val="24"/>
        </w:rPr>
        <w:t xml:space="preserve"> </w:t>
      </w:r>
      <w:r w:rsidR="00E1199B" w:rsidRPr="00F8538E">
        <w:rPr>
          <w:rFonts w:ascii="Times New Roman" w:hAnsi="Times New Roman" w:cs="Times New Roman"/>
          <w:sz w:val="24"/>
          <w:szCs w:val="24"/>
        </w:rPr>
        <w:t>equivalente a</w:t>
      </w:r>
      <w:r w:rsidR="00E47733" w:rsidRPr="00F8538E">
        <w:rPr>
          <w:rFonts w:ascii="Times New Roman" w:hAnsi="Times New Roman" w:cs="Times New Roman"/>
          <w:sz w:val="24"/>
          <w:szCs w:val="24"/>
        </w:rPr>
        <w:t xml:space="preserve"> R$ 1,381 trilhão.</w:t>
      </w:r>
      <w:r w:rsidR="00D15288" w:rsidRPr="00F8538E">
        <w:rPr>
          <w:rFonts w:ascii="Times New Roman" w:hAnsi="Times New Roman" w:cs="Times New Roman"/>
          <w:sz w:val="24"/>
          <w:szCs w:val="24"/>
        </w:rPr>
        <w:t xml:space="preserve"> </w:t>
      </w:r>
      <w:r w:rsidR="00601515">
        <w:rPr>
          <w:rFonts w:ascii="Times New Roman" w:hAnsi="Times New Roman" w:cs="Times New Roman"/>
          <w:sz w:val="24"/>
          <w:szCs w:val="24"/>
        </w:rPr>
        <w:t>Mesmo</w:t>
      </w:r>
      <w:r w:rsidR="009564E2" w:rsidRPr="00F8538E">
        <w:rPr>
          <w:rFonts w:ascii="Times New Roman" w:hAnsi="Times New Roman" w:cs="Times New Roman"/>
          <w:sz w:val="24"/>
          <w:szCs w:val="24"/>
        </w:rPr>
        <w:t xml:space="preserve"> com o passar dos anos sendo destinada uma quantia maior para o pagamento da </w:t>
      </w:r>
      <w:r w:rsidR="00B07D93" w:rsidRPr="00B64E4A">
        <w:rPr>
          <w:rFonts w:ascii="Times New Roman" w:hAnsi="Times New Roman" w:cs="Times New Roman"/>
          <w:sz w:val="24"/>
          <w:szCs w:val="24"/>
        </w:rPr>
        <w:t>dívida</w:t>
      </w:r>
      <w:r w:rsidR="009564E2" w:rsidRPr="00F8538E">
        <w:rPr>
          <w:rFonts w:ascii="Times New Roman" w:hAnsi="Times New Roman" w:cs="Times New Roman"/>
          <w:sz w:val="24"/>
          <w:szCs w:val="24"/>
        </w:rPr>
        <w:t xml:space="preserve"> pública, o estoque da dívida interna continua aumentando</w:t>
      </w:r>
      <w:r w:rsidR="00294D9F" w:rsidRPr="00F8538E">
        <w:rPr>
          <w:rFonts w:ascii="Times New Roman" w:hAnsi="Times New Roman" w:cs="Times New Roman"/>
          <w:sz w:val="24"/>
          <w:szCs w:val="24"/>
        </w:rPr>
        <w:t xml:space="preserve"> de forma acelerada</w:t>
      </w:r>
      <w:r w:rsidR="006321BA">
        <w:rPr>
          <w:rFonts w:ascii="Times New Roman" w:hAnsi="Times New Roman" w:cs="Times New Roman"/>
          <w:sz w:val="24"/>
          <w:szCs w:val="24"/>
        </w:rPr>
        <w:t>,</w:t>
      </w:r>
      <w:r w:rsidR="00601515">
        <w:rPr>
          <w:rFonts w:ascii="Times New Roman" w:hAnsi="Times New Roman" w:cs="Times New Roman"/>
          <w:sz w:val="24"/>
          <w:szCs w:val="24"/>
        </w:rPr>
        <w:t xml:space="preserve"> conforme pode ser visto no gráfico abaixo</w:t>
      </w:r>
      <w:r w:rsidR="009564E2" w:rsidRPr="00F8538E">
        <w:rPr>
          <w:rFonts w:ascii="Times New Roman" w:hAnsi="Times New Roman" w:cs="Times New Roman"/>
          <w:sz w:val="24"/>
          <w:szCs w:val="24"/>
        </w:rPr>
        <w:t>.</w:t>
      </w:r>
    </w:p>
    <w:p w14:paraId="4F778007" w14:textId="77777777" w:rsidR="00A866FA" w:rsidRDefault="00A86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FDB88EC" w14:textId="3A1E972A" w:rsidR="00A4340D" w:rsidRDefault="00A866FA" w:rsidP="00A866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66FA">
        <w:rPr>
          <w:rFonts w:ascii="Times New Roman" w:hAnsi="Times New Roman" w:cs="Times New Roman"/>
          <w:sz w:val="24"/>
          <w:szCs w:val="24"/>
        </w:rPr>
        <w:lastRenderedPageBreak/>
        <w:t>Despesas com a Dívida Pública, Orçamento executado pelo Governo Federal e Estoque da Dívida Interna</w:t>
      </w:r>
      <w:r>
        <w:rPr>
          <w:rFonts w:ascii="Times New Roman" w:hAnsi="Times New Roman" w:cs="Times New Roman"/>
          <w:sz w:val="24"/>
          <w:szCs w:val="24"/>
        </w:rPr>
        <w:t xml:space="preserve"> (2011-2020)</w:t>
      </w:r>
    </w:p>
    <w:p w14:paraId="7806BBF7" w14:textId="1EDE09A4" w:rsidR="002C7EB4" w:rsidRPr="00F8538E" w:rsidRDefault="001344EE" w:rsidP="00AD49AB">
      <w:pPr>
        <w:tabs>
          <w:tab w:val="left" w:pos="142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7E285B0" wp14:editId="56BCAA4C">
            <wp:extent cx="5184775" cy="3580130"/>
            <wp:effectExtent l="0" t="0" r="0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75" cy="358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F5975" w14:textId="31D67A76" w:rsidR="00584A26" w:rsidRDefault="007B04C3" w:rsidP="0058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38E">
        <w:rPr>
          <w:rFonts w:ascii="Times New Roman" w:hAnsi="Times New Roman" w:cs="Times New Roman"/>
          <w:sz w:val="24"/>
          <w:szCs w:val="24"/>
        </w:rPr>
        <w:t>Confecção própria</w:t>
      </w:r>
    </w:p>
    <w:p w14:paraId="134BD3DC" w14:textId="3F404AFD" w:rsidR="00601515" w:rsidRDefault="007B15F8" w:rsidP="0058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38E">
        <w:rPr>
          <w:rFonts w:ascii="Times New Roman" w:hAnsi="Times New Roman" w:cs="Times New Roman"/>
          <w:sz w:val="24"/>
          <w:szCs w:val="24"/>
        </w:rPr>
        <w:t xml:space="preserve">Fonte: </w:t>
      </w:r>
      <w:r w:rsidR="00496FBB">
        <w:rPr>
          <w:rFonts w:ascii="Times New Roman" w:hAnsi="Times New Roman" w:cs="Times New Roman"/>
          <w:sz w:val="24"/>
          <w:szCs w:val="24"/>
        </w:rPr>
        <w:t>Gráficos do Orçamento Geral da União</w:t>
      </w:r>
      <w:r w:rsidR="00527092">
        <w:rPr>
          <w:rFonts w:ascii="Times New Roman" w:hAnsi="Times New Roman" w:cs="Times New Roman"/>
          <w:sz w:val="24"/>
          <w:szCs w:val="24"/>
        </w:rPr>
        <w:t xml:space="preserve"> executado</w:t>
      </w:r>
      <w:r w:rsidR="00496FB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496FBB" w:rsidRPr="001344EE">
          <w:rPr>
            <w:rStyle w:val="Hyperlink"/>
            <w:rFonts w:ascii="Times New Roman" w:hAnsi="Times New Roman" w:cs="Times New Roman"/>
            <w:color w:val="4472C4" w:themeColor="accent1"/>
            <w:sz w:val="24"/>
            <w:szCs w:val="24"/>
          </w:rPr>
          <w:t>(</w:t>
        </w:r>
        <w:proofErr w:type="spellStart"/>
        <w:r w:rsidR="00496FBB" w:rsidRPr="001344EE">
          <w:rPr>
            <w:rStyle w:val="Hyperlink"/>
            <w:rFonts w:ascii="Times New Roman" w:hAnsi="Times New Roman" w:cs="Times New Roman"/>
            <w:color w:val="4472C4" w:themeColor="accent1"/>
            <w:sz w:val="24"/>
            <w:szCs w:val="24"/>
          </w:rPr>
          <w:t>ii</w:t>
        </w:r>
        <w:proofErr w:type="spellEnd"/>
        <w:r w:rsidR="00496FBB" w:rsidRPr="001344EE">
          <w:rPr>
            <w:rStyle w:val="Hyperlink"/>
            <w:rFonts w:ascii="Times New Roman" w:hAnsi="Times New Roman" w:cs="Times New Roman"/>
            <w:color w:val="4472C4" w:themeColor="accent1"/>
            <w:sz w:val="24"/>
            <w:szCs w:val="24"/>
          </w:rPr>
          <w:t>)</w:t>
        </w:r>
      </w:hyperlink>
      <w:r w:rsidR="00496FBB">
        <w:rPr>
          <w:rFonts w:ascii="Times New Roman" w:hAnsi="Times New Roman" w:cs="Times New Roman"/>
          <w:sz w:val="24"/>
          <w:szCs w:val="24"/>
        </w:rPr>
        <w:t xml:space="preserve"> e Comparativo de Juros, Amortizações e Estoque da Dívida </w:t>
      </w:r>
      <w:hyperlink r:id="rId11" w:history="1">
        <w:r w:rsidR="00496FBB" w:rsidRPr="001344EE">
          <w:rPr>
            <w:rStyle w:val="Hyperlink"/>
            <w:rFonts w:ascii="Times New Roman" w:hAnsi="Times New Roman" w:cs="Times New Roman"/>
            <w:color w:val="4472C4" w:themeColor="accent1"/>
            <w:sz w:val="24"/>
            <w:szCs w:val="24"/>
          </w:rPr>
          <w:t>(</w:t>
        </w:r>
        <w:proofErr w:type="spellStart"/>
        <w:r w:rsidR="00496FBB" w:rsidRPr="001344EE">
          <w:rPr>
            <w:rStyle w:val="Hyperlink"/>
            <w:rFonts w:ascii="Times New Roman" w:hAnsi="Times New Roman" w:cs="Times New Roman"/>
            <w:color w:val="4472C4" w:themeColor="accent1"/>
            <w:sz w:val="24"/>
            <w:szCs w:val="24"/>
          </w:rPr>
          <w:t>iii</w:t>
        </w:r>
        <w:proofErr w:type="spellEnd"/>
        <w:r w:rsidR="00496FBB" w:rsidRPr="001344EE">
          <w:rPr>
            <w:rStyle w:val="Hyperlink"/>
            <w:rFonts w:ascii="Times New Roman" w:hAnsi="Times New Roman" w:cs="Times New Roman"/>
            <w:color w:val="4472C4" w:themeColor="accent1"/>
            <w:sz w:val="24"/>
            <w:szCs w:val="24"/>
          </w:rPr>
          <w:t>)</w:t>
        </w:r>
      </w:hyperlink>
      <w:r w:rsidR="00496F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0482C2" w14:textId="00863879" w:rsidR="00601515" w:rsidRPr="00F8538E" w:rsidRDefault="00601515" w:rsidP="00635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9E7A3A" w14:textId="07CDBB84" w:rsidR="00040A05" w:rsidRPr="00F8538E" w:rsidRDefault="00E1199B" w:rsidP="00635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38E">
        <w:rPr>
          <w:rFonts w:ascii="Times New Roman" w:hAnsi="Times New Roman" w:cs="Times New Roman"/>
          <w:sz w:val="24"/>
          <w:szCs w:val="24"/>
        </w:rPr>
        <w:t>Esse aumento do gasto com a dívida</w:t>
      </w:r>
      <w:r w:rsidR="00787BAE" w:rsidRPr="00F8538E">
        <w:rPr>
          <w:rFonts w:ascii="Times New Roman" w:hAnsi="Times New Roman" w:cs="Times New Roman"/>
          <w:sz w:val="24"/>
          <w:szCs w:val="24"/>
        </w:rPr>
        <w:t>,</w:t>
      </w:r>
      <w:r w:rsidR="002A6E50" w:rsidRPr="00F8538E">
        <w:rPr>
          <w:rFonts w:ascii="Times New Roman" w:hAnsi="Times New Roman" w:cs="Times New Roman"/>
          <w:sz w:val="24"/>
          <w:szCs w:val="24"/>
        </w:rPr>
        <w:t xml:space="preserve"> </w:t>
      </w:r>
      <w:r w:rsidRPr="00F8538E">
        <w:rPr>
          <w:rFonts w:ascii="Times New Roman" w:hAnsi="Times New Roman" w:cs="Times New Roman"/>
          <w:sz w:val="24"/>
          <w:szCs w:val="24"/>
        </w:rPr>
        <w:t>assim como do estoque ocorre</w:t>
      </w:r>
      <w:r w:rsidR="00005067" w:rsidRPr="00F8538E">
        <w:rPr>
          <w:rFonts w:ascii="Times New Roman" w:hAnsi="Times New Roman" w:cs="Times New Roman"/>
          <w:sz w:val="24"/>
          <w:szCs w:val="24"/>
        </w:rPr>
        <w:t xml:space="preserve"> através de vários mecanismos ilegais</w:t>
      </w:r>
      <w:r w:rsidR="00787BAE" w:rsidRPr="00F8538E">
        <w:rPr>
          <w:rFonts w:ascii="Times New Roman" w:hAnsi="Times New Roman" w:cs="Times New Roman"/>
          <w:sz w:val="24"/>
          <w:szCs w:val="24"/>
        </w:rPr>
        <w:t xml:space="preserve">, </w:t>
      </w:r>
      <w:r w:rsidR="00005067" w:rsidRPr="00F8538E">
        <w:rPr>
          <w:rFonts w:ascii="Times New Roman" w:hAnsi="Times New Roman" w:cs="Times New Roman"/>
          <w:sz w:val="24"/>
          <w:szCs w:val="24"/>
        </w:rPr>
        <w:t xml:space="preserve">que visam beneficiar os bancos privados </w:t>
      </w:r>
      <w:r w:rsidR="00294D9F" w:rsidRPr="00F8538E">
        <w:rPr>
          <w:rFonts w:ascii="Times New Roman" w:hAnsi="Times New Roman" w:cs="Times New Roman"/>
          <w:sz w:val="24"/>
          <w:szCs w:val="24"/>
        </w:rPr>
        <w:t>à</w:t>
      </w:r>
      <w:r w:rsidR="00005067" w:rsidRPr="00F8538E">
        <w:rPr>
          <w:rFonts w:ascii="Times New Roman" w:hAnsi="Times New Roman" w:cs="Times New Roman"/>
          <w:sz w:val="24"/>
          <w:szCs w:val="24"/>
        </w:rPr>
        <w:t xml:space="preserve"> custa dos recursos públicos. Um primeiro mecanismo que é importante evidenciarmos é o </w:t>
      </w:r>
      <w:r w:rsidR="00A81FE8" w:rsidRPr="00F8538E">
        <w:rPr>
          <w:rFonts w:ascii="Times New Roman" w:hAnsi="Times New Roman" w:cs="Times New Roman"/>
          <w:sz w:val="24"/>
          <w:szCs w:val="24"/>
        </w:rPr>
        <w:t>tratamento</w:t>
      </w:r>
      <w:r w:rsidR="00005067" w:rsidRPr="00F8538E">
        <w:rPr>
          <w:rFonts w:ascii="Times New Roman" w:hAnsi="Times New Roman" w:cs="Times New Roman"/>
          <w:sz w:val="24"/>
          <w:szCs w:val="24"/>
        </w:rPr>
        <w:t xml:space="preserve"> </w:t>
      </w:r>
      <w:r w:rsidR="00A81FE8" w:rsidRPr="00F8538E">
        <w:rPr>
          <w:rFonts w:ascii="Times New Roman" w:hAnsi="Times New Roman" w:cs="Times New Roman"/>
          <w:sz w:val="24"/>
          <w:szCs w:val="24"/>
        </w:rPr>
        <w:t>de juros como se fosse</w:t>
      </w:r>
      <w:r w:rsidR="002A6E50" w:rsidRPr="00B64E4A">
        <w:rPr>
          <w:rFonts w:ascii="Times New Roman" w:hAnsi="Times New Roman" w:cs="Times New Roman"/>
          <w:sz w:val="24"/>
          <w:szCs w:val="24"/>
        </w:rPr>
        <w:t>m</w:t>
      </w:r>
      <w:r w:rsidR="00A81FE8" w:rsidRPr="00F8538E">
        <w:rPr>
          <w:rFonts w:ascii="Times New Roman" w:hAnsi="Times New Roman" w:cs="Times New Roman"/>
          <w:sz w:val="24"/>
          <w:szCs w:val="24"/>
        </w:rPr>
        <w:t xml:space="preserve"> amortizações.  </w:t>
      </w:r>
      <w:r w:rsidRPr="00F8538E">
        <w:rPr>
          <w:rFonts w:ascii="Times New Roman" w:hAnsi="Times New Roman" w:cs="Times New Roman"/>
          <w:sz w:val="24"/>
          <w:szCs w:val="24"/>
        </w:rPr>
        <w:t>Quando</w:t>
      </w:r>
      <w:r w:rsidR="00085350" w:rsidRPr="00F8538E">
        <w:rPr>
          <w:rFonts w:ascii="Times New Roman" w:hAnsi="Times New Roman" w:cs="Times New Roman"/>
          <w:sz w:val="24"/>
          <w:szCs w:val="24"/>
        </w:rPr>
        <w:t xml:space="preserve"> são emitidos títulos da dívida para o pagamento de juros como se fosse amortizações, o estoque da dívida continua a crescer.</w:t>
      </w:r>
      <w:r w:rsidR="004373D4" w:rsidRPr="00F8538E">
        <w:rPr>
          <w:rFonts w:ascii="Times New Roman" w:hAnsi="Times New Roman" w:cs="Times New Roman"/>
          <w:sz w:val="24"/>
          <w:szCs w:val="24"/>
        </w:rPr>
        <w:t xml:space="preserve"> Essa pr</w:t>
      </w:r>
      <w:r w:rsidR="004373D4" w:rsidRPr="00B64E4A">
        <w:rPr>
          <w:rFonts w:ascii="Times New Roman" w:hAnsi="Times New Roman" w:cs="Times New Roman"/>
          <w:sz w:val="24"/>
          <w:szCs w:val="24"/>
        </w:rPr>
        <w:t>á</w:t>
      </w:r>
      <w:r w:rsidR="003862D8" w:rsidRPr="00F8538E">
        <w:rPr>
          <w:rFonts w:ascii="Times New Roman" w:hAnsi="Times New Roman" w:cs="Times New Roman"/>
          <w:sz w:val="24"/>
          <w:szCs w:val="24"/>
        </w:rPr>
        <w:t>tica não tem fundamentação legal, contrariando o inciso III do artigo 167 da Constituição Federal</w:t>
      </w:r>
      <w:r w:rsidR="002D01CD" w:rsidRPr="00F8538E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2D01CD" w:rsidRPr="001344EE">
          <w:rPr>
            <w:rStyle w:val="Hyperlink"/>
            <w:rFonts w:ascii="Times New Roman" w:hAnsi="Times New Roman" w:cs="Times New Roman"/>
            <w:color w:val="4472C4" w:themeColor="accent1"/>
            <w:sz w:val="24"/>
            <w:szCs w:val="24"/>
          </w:rPr>
          <w:t>(</w:t>
        </w:r>
        <w:proofErr w:type="spellStart"/>
        <w:r w:rsidR="002D01CD" w:rsidRPr="001344EE">
          <w:rPr>
            <w:rStyle w:val="Hyperlink"/>
            <w:rFonts w:ascii="Times New Roman" w:hAnsi="Times New Roman" w:cs="Times New Roman"/>
            <w:color w:val="4472C4" w:themeColor="accent1"/>
            <w:sz w:val="24"/>
            <w:szCs w:val="24"/>
          </w:rPr>
          <w:t>i</w:t>
        </w:r>
        <w:r w:rsidR="000600D1">
          <w:rPr>
            <w:rStyle w:val="Hyperlink"/>
            <w:rFonts w:ascii="Times New Roman" w:hAnsi="Times New Roman" w:cs="Times New Roman"/>
            <w:color w:val="4472C4" w:themeColor="accent1"/>
            <w:sz w:val="24"/>
            <w:szCs w:val="24"/>
          </w:rPr>
          <w:t>v</w:t>
        </w:r>
        <w:proofErr w:type="spellEnd"/>
        <w:r w:rsidR="002D01CD" w:rsidRPr="001344EE">
          <w:rPr>
            <w:rStyle w:val="Hyperlink"/>
            <w:rFonts w:ascii="Times New Roman" w:hAnsi="Times New Roman" w:cs="Times New Roman"/>
            <w:color w:val="4472C4" w:themeColor="accent1"/>
            <w:sz w:val="24"/>
            <w:szCs w:val="24"/>
          </w:rPr>
          <w:t>)</w:t>
        </w:r>
      </w:hyperlink>
      <w:r w:rsidR="003862D8" w:rsidRPr="001344EE">
        <w:rPr>
          <w:rFonts w:ascii="Times New Roman" w:hAnsi="Times New Roman" w:cs="Times New Roman"/>
          <w:color w:val="4472C4" w:themeColor="accent1"/>
          <w:sz w:val="24"/>
          <w:szCs w:val="24"/>
        </w:rPr>
        <w:t>.</w:t>
      </w:r>
    </w:p>
    <w:p w14:paraId="1968FCC7" w14:textId="229B3A9B" w:rsidR="00ED2E37" w:rsidRPr="00F8538E" w:rsidRDefault="00ED2E37" w:rsidP="00635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38E">
        <w:rPr>
          <w:rFonts w:ascii="Times New Roman" w:hAnsi="Times New Roman" w:cs="Times New Roman"/>
          <w:sz w:val="24"/>
          <w:szCs w:val="24"/>
        </w:rPr>
        <w:t>Já não bastasse os altos recursos destinados aos setores financeiros através da dívida pública, em 2020</w:t>
      </w:r>
      <w:r w:rsidR="00752171" w:rsidRPr="00F8538E">
        <w:rPr>
          <w:rFonts w:ascii="Times New Roman" w:hAnsi="Times New Roman" w:cs="Times New Roman"/>
          <w:sz w:val="24"/>
          <w:szCs w:val="24"/>
        </w:rPr>
        <w:t xml:space="preserve"> foi aprovada a E</w:t>
      </w:r>
      <w:r w:rsidR="000D53BC" w:rsidRPr="00F8538E">
        <w:rPr>
          <w:rFonts w:ascii="Times New Roman" w:hAnsi="Times New Roman" w:cs="Times New Roman"/>
          <w:sz w:val="24"/>
          <w:szCs w:val="24"/>
        </w:rPr>
        <w:t xml:space="preserve">menda à </w:t>
      </w:r>
      <w:r w:rsidR="00752171" w:rsidRPr="00F8538E">
        <w:rPr>
          <w:rFonts w:ascii="Times New Roman" w:hAnsi="Times New Roman" w:cs="Times New Roman"/>
          <w:sz w:val="24"/>
          <w:szCs w:val="24"/>
        </w:rPr>
        <w:t>C</w:t>
      </w:r>
      <w:r w:rsidR="000D53BC" w:rsidRPr="00F8538E">
        <w:rPr>
          <w:rFonts w:ascii="Times New Roman" w:hAnsi="Times New Roman" w:cs="Times New Roman"/>
          <w:sz w:val="24"/>
          <w:szCs w:val="24"/>
        </w:rPr>
        <w:t>onstituição n°</w:t>
      </w:r>
      <w:r w:rsidR="00752171" w:rsidRPr="00F8538E">
        <w:rPr>
          <w:rFonts w:ascii="Times New Roman" w:hAnsi="Times New Roman" w:cs="Times New Roman"/>
          <w:sz w:val="24"/>
          <w:szCs w:val="24"/>
        </w:rPr>
        <w:t xml:space="preserve"> 106</w:t>
      </w:r>
      <w:r w:rsidR="000D53BC" w:rsidRPr="00F8538E">
        <w:rPr>
          <w:rFonts w:ascii="Times New Roman" w:hAnsi="Times New Roman" w:cs="Times New Roman"/>
          <w:sz w:val="24"/>
          <w:szCs w:val="24"/>
        </w:rPr>
        <w:t xml:space="preserve">, que, </w:t>
      </w:r>
      <w:r w:rsidR="002F13F1" w:rsidRPr="00F8538E">
        <w:rPr>
          <w:rFonts w:ascii="Times New Roman" w:hAnsi="Times New Roman" w:cs="Times New Roman"/>
          <w:sz w:val="24"/>
          <w:szCs w:val="24"/>
        </w:rPr>
        <w:t>dentre várias medidas,</w:t>
      </w:r>
      <w:r w:rsidR="00051045" w:rsidRPr="00F8538E">
        <w:rPr>
          <w:rFonts w:ascii="Times New Roman" w:hAnsi="Times New Roman" w:cs="Times New Roman"/>
          <w:sz w:val="24"/>
          <w:szCs w:val="24"/>
        </w:rPr>
        <w:t xml:space="preserve"> abriu margem para a compra de papéis podres por parte do Banco Central (BC).</w:t>
      </w:r>
      <w:r w:rsidR="002F13F1" w:rsidRPr="00F8538E">
        <w:rPr>
          <w:rFonts w:ascii="Times New Roman" w:hAnsi="Times New Roman" w:cs="Times New Roman"/>
          <w:sz w:val="24"/>
          <w:szCs w:val="24"/>
        </w:rPr>
        <w:t xml:space="preserve"> Essa compra foi regulamentada pela</w:t>
      </w:r>
      <w:r w:rsidR="001064C6" w:rsidRPr="00F8538E">
        <w:rPr>
          <w:rFonts w:ascii="Times New Roman" w:hAnsi="Times New Roman" w:cs="Times New Roman"/>
          <w:sz w:val="24"/>
          <w:szCs w:val="24"/>
        </w:rPr>
        <w:t xml:space="preserve"> </w:t>
      </w:r>
      <w:r w:rsidR="00294D9F" w:rsidRPr="00F8538E">
        <w:rPr>
          <w:rFonts w:ascii="Times New Roman" w:hAnsi="Times New Roman" w:cs="Times New Roman"/>
          <w:sz w:val="24"/>
          <w:szCs w:val="24"/>
        </w:rPr>
        <w:t>C</w:t>
      </w:r>
      <w:r w:rsidR="001064C6" w:rsidRPr="00F8538E">
        <w:rPr>
          <w:rFonts w:ascii="Times New Roman" w:hAnsi="Times New Roman" w:cs="Times New Roman"/>
          <w:sz w:val="24"/>
          <w:szCs w:val="24"/>
        </w:rPr>
        <w:t>ircular</w:t>
      </w:r>
      <w:r w:rsidR="00294D9F" w:rsidRPr="00F8538E">
        <w:rPr>
          <w:rFonts w:ascii="Times New Roman" w:hAnsi="Times New Roman" w:cs="Times New Roman"/>
          <w:sz w:val="24"/>
          <w:szCs w:val="24"/>
        </w:rPr>
        <w:t xml:space="preserve"> n°</w:t>
      </w:r>
      <w:r w:rsidR="001064C6" w:rsidRPr="00F8538E">
        <w:rPr>
          <w:rFonts w:ascii="Times New Roman" w:hAnsi="Times New Roman" w:cs="Times New Roman"/>
          <w:sz w:val="24"/>
          <w:szCs w:val="24"/>
        </w:rPr>
        <w:t xml:space="preserve"> 4028 do BC. O BC, com essas medidas, pode comprar ativos privados prescritos e podres. Além de não</w:t>
      </w:r>
      <w:r w:rsidR="00DF1BDE" w:rsidRPr="00F8538E">
        <w:rPr>
          <w:rFonts w:ascii="Times New Roman" w:hAnsi="Times New Roman" w:cs="Times New Roman"/>
          <w:sz w:val="24"/>
          <w:szCs w:val="24"/>
        </w:rPr>
        <w:t xml:space="preserve"> ser</w:t>
      </w:r>
      <w:r w:rsidR="001064C6" w:rsidRPr="00F8538E">
        <w:rPr>
          <w:rFonts w:ascii="Times New Roman" w:hAnsi="Times New Roman" w:cs="Times New Roman"/>
          <w:sz w:val="24"/>
          <w:szCs w:val="24"/>
        </w:rPr>
        <w:t xml:space="preserve"> definid</w:t>
      </w:r>
      <w:r w:rsidR="00DF1BDE" w:rsidRPr="00F8538E">
        <w:rPr>
          <w:rFonts w:ascii="Times New Roman" w:hAnsi="Times New Roman" w:cs="Times New Roman"/>
          <w:sz w:val="24"/>
          <w:szCs w:val="24"/>
        </w:rPr>
        <w:t>o</w:t>
      </w:r>
      <w:r w:rsidR="001064C6" w:rsidRPr="00F8538E">
        <w:rPr>
          <w:rFonts w:ascii="Times New Roman" w:hAnsi="Times New Roman" w:cs="Times New Roman"/>
          <w:sz w:val="24"/>
          <w:szCs w:val="24"/>
        </w:rPr>
        <w:t xml:space="preserve"> os tipos de ativos a serem comprados, não há limite a ser gasto na compra de</w:t>
      </w:r>
      <w:r w:rsidR="00DF1BDE" w:rsidRPr="00F8538E">
        <w:rPr>
          <w:rFonts w:ascii="Times New Roman" w:hAnsi="Times New Roman" w:cs="Times New Roman"/>
          <w:sz w:val="24"/>
          <w:szCs w:val="24"/>
        </w:rPr>
        <w:t>sses</w:t>
      </w:r>
      <w:r w:rsidR="001064C6" w:rsidRPr="00F8538E">
        <w:rPr>
          <w:rFonts w:ascii="Times New Roman" w:hAnsi="Times New Roman" w:cs="Times New Roman"/>
          <w:sz w:val="24"/>
          <w:szCs w:val="24"/>
        </w:rPr>
        <w:t xml:space="preserve"> ativos. Até mesmo devedores da previdência social podem ser beneficiados</w:t>
      </w:r>
      <w:r w:rsidR="00DF1BDE" w:rsidRPr="00F8538E">
        <w:rPr>
          <w:rFonts w:ascii="Times New Roman" w:hAnsi="Times New Roman" w:cs="Times New Roman"/>
          <w:sz w:val="24"/>
          <w:szCs w:val="24"/>
        </w:rPr>
        <w:t xml:space="preserve"> conforme o parágrafo único do artigo 5</w:t>
      </w:r>
      <w:r w:rsidR="002C38E3" w:rsidRPr="00B64E4A">
        <w:rPr>
          <w:rFonts w:ascii="Times New Roman" w:hAnsi="Times New Roman" w:cs="Times New Roman"/>
          <w:sz w:val="24"/>
          <w:szCs w:val="24"/>
        </w:rPr>
        <w:t>º</w:t>
      </w:r>
      <w:r w:rsidR="00DF1BDE" w:rsidRPr="00F8538E">
        <w:rPr>
          <w:rFonts w:ascii="Times New Roman" w:hAnsi="Times New Roman" w:cs="Times New Roman"/>
          <w:sz w:val="24"/>
          <w:szCs w:val="24"/>
        </w:rPr>
        <w:t xml:space="preserve"> da Circular. Ou seja, ao abrir margens para </w:t>
      </w:r>
      <w:r w:rsidR="00DF1BDE" w:rsidRPr="00F8538E">
        <w:rPr>
          <w:rFonts w:ascii="Times New Roman" w:hAnsi="Times New Roman" w:cs="Times New Roman"/>
          <w:sz w:val="24"/>
          <w:szCs w:val="24"/>
        </w:rPr>
        <w:lastRenderedPageBreak/>
        <w:t>essas medida</w:t>
      </w:r>
      <w:r w:rsidR="00F04707" w:rsidRPr="00F8538E">
        <w:rPr>
          <w:rFonts w:ascii="Times New Roman" w:hAnsi="Times New Roman" w:cs="Times New Roman"/>
          <w:sz w:val="24"/>
          <w:szCs w:val="24"/>
        </w:rPr>
        <w:t>s, f</w:t>
      </w:r>
      <w:r w:rsidR="00F8538E" w:rsidRPr="00B64E4A">
        <w:rPr>
          <w:rFonts w:ascii="Times New Roman" w:hAnsi="Times New Roman" w:cs="Times New Roman"/>
          <w:sz w:val="24"/>
          <w:szCs w:val="24"/>
        </w:rPr>
        <w:t>i</w:t>
      </w:r>
      <w:r w:rsidR="00DF1BDE" w:rsidRPr="00F8538E">
        <w:rPr>
          <w:rFonts w:ascii="Times New Roman" w:hAnsi="Times New Roman" w:cs="Times New Roman"/>
          <w:sz w:val="24"/>
          <w:szCs w:val="24"/>
        </w:rPr>
        <w:t>ca evidente a tentativa de beneficia</w:t>
      </w:r>
      <w:r w:rsidR="000D53BC" w:rsidRPr="00F8538E">
        <w:rPr>
          <w:rFonts w:ascii="Times New Roman" w:hAnsi="Times New Roman" w:cs="Times New Roman"/>
          <w:sz w:val="24"/>
          <w:szCs w:val="24"/>
        </w:rPr>
        <w:t>mento</w:t>
      </w:r>
      <w:r w:rsidR="00DF1BDE" w:rsidRPr="00F8538E">
        <w:rPr>
          <w:rFonts w:ascii="Times New Roman" w:hAnsi="Times New Roman" w:cs="Times New Roman"/>
          <w:sz w:val="24"/>
          <w:szCs w:val="24"/>
        </w:rPr>
        <w:t xml:space="preserve"> </w:t>
      </w:r>
      <w:r w:rsidR="000D53BC" w:rsidRPr="00F8538E">
        <w:rPr>
          <w:rFonts w:ascii="Times New Roman" w:hAnsi="Times New Roman" w:cs="Times New Roman"/>
          <w:sz w:val="24"/>
          <w:szCs w:val="24"/>
        </w:rPr>
        <w:t>d</w:t>
      </w:r>
      <w:r w:rsidR="00DF1BDE" w:rsidRPr="00F8538E">
        <w:rPr>
          <w:rFonts w:ascii="Times New Roman" w:hAnsi="Times New Roman" w:cs="Times New Roman"/>
          <w:sz w:val="24"/>
          <w:szCs w:val="24"/>
        </w:rPr>
        <w:t>o setor financeiro</w:t>
      </w:r>
      <w:r w:rsidR="000D53BC" w:rsidRPr="00F8538E">
        <w:rPr>
          <w:rFonts w:ascii="Times New Roman" w:hAnsi="Times New Roman" w:cs="Times New Roman"/>
          <w:sz w:val="24"/>
          <w:szCs w:val="24"/>
        </w:rPr>
        <w:t xml:space="preserve"> ao</w:t>
      </w:r>
      <w:r w:rsidR="00DF1BDE" w:rsidRPr="00F8538E">
        <w:rPr>
          <w:rFonts w:ascii="Times New Roman" w:hAnsi="Times New Roman" w:cs="Times New Roman"/>
          <w:sz w:val="24"/>
          <w:szCs w:val="24"/>
        </w:rPr>
        <w:t xml:space="preserve"> pass</w:t>
      </w:r>
      <w:r w:rsidR="000D53BC" w:rsidRPr="00F8538E">
        <w:rPr>
          <w:rFonts w:ascii="Times New Roman" w:hAnsi="Times New Roman" w:cs="Times New Roman"/>
          <w:sz w:val="24"/>
          <w:szCs w:val="24"/>
        </w:rPr>
        <w:t>ar</w:t>
      </w:r>
      <w:r w:rsidR="00DF1BDE" w:rsidRPr="00F8538E">
        <w:rPr>
          <w:rFonts w:ascii="Times New Roman" w:hAnsi="Times New Roman" w:cs="Times New Roman"/>
          <w:sz w:val="24"/>
          <w:szCs w:val="24"/>
        </w:rPr>
        <w:t xml:space="preserve"> o “prejuízo” de instituições financeiras privadas para o Estado</w:t>
      </w:r>
      <w:r w:rsidR="002D01CD" w:rsidRPr="00F8538E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2D01CD" w:rsidRPr="001344EE">
          <w:rPr>
            <w:rStyle w:val="Hyperlink"/>
            <w:rFonts w:ascii="Times New Roman" w:hAnsi="Times New Roman" w:cs="Times New Roman"/>
            <w:color w:val="4472C4" w:themeColor="accent1"/>
            <w:sz w:val="24"/>
            <w:szCs w:val="24"/>
          </w:rPr>
          <w:t>(</w:t>
        </w:r>
        <w:r w:rsidR="001344EE">
          <w:rPr>
            <w:rStyle w:val="Hyperlink"/>
            <w:rFonts w:ascii="Times New Roman" w:hAnsi="Times New Roman" w:cs="Times New Roman"/>
            <w:color w:val="4472C4" w:themeColor="accent1"/>
            <w:sz w:val="24"/>
            <w:szCs w:val="24"/>
          </w:rPr>
          <w:t>v</w:t>
        </w:r>
        <w:r w:rsidR="002D01CD" w:rsidRPr="001344EE">
          <w:rPr>
            <w:rStyle w:val="Hyperlink"/>
            <w:rFonts w:ascii="Times New Roman" w:hAnsi="Times New Roman" w:cs="Times New Roman"/>
            <w:color w:val="4472C4" w:themeColor="accent1"/>
            <w:sz w:val="24"/>
            <w:szCs w:val="24"/>
          </w:rPr>
          <w:t>)</w:t>
        </w:r>
      </w:hyperlink>
      <w:r w:rsidR="002E0B3C" w:rsidRPr="00F8538E">
        <w:rPr>
          <w:rFonts w:ascii="Times New Roman" w:hAnsi="Times New Roman" w:cs="Times New Roman"/>
          <w:sz w:val="24"/>
          <w:szCs w:val="24"/>
        </w:rPr>
        <w:t>.</w:t>
      </w:r>
    </w:p>
    <w:p w14:paraId="702D30BE" w14:textId="34BCDFF2" w:rsidR="00D22738" w:rsidRPr="00F8538E" w:rsidRDefault="00B9550B" w:rsidP="00D22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38E">
        <w:rPr>
          <w:rFonts w:ascii="Times New Roman" w:hAnsi="Times New Roman" w:cs="Times New Roman"/>
          <w:sz w:val="24"/>
          <w:szCs w:val="24"/>
        </w:rPr>
        <w:t>Além dos mecanismos citados, não podemos deixar de falar da</w:t>
      </w:r>
      <w:r w:rsidR="002C38E3" w:rsidRPr="00F8538E">
        <w:rPr>
          <w:rFonts w:ascii="Times New Roman" w:hAnsi="Times New Roman" w:cs="Times New Roman"/>
          <w:sz w:val="24"/>
          <w:szCs w:val="24"/>
        </w:rPr>
        <w:t xml:space="preserve"> </w:t>
      </w:r>
      <w:r w:rsidRPr="00F8538E">
        <w:rPr>
          <w:rFonts w:ascii="Times New Roman" w:hAnsi="Times New Roman" w:cs="Times New Roman"/>
          <w:sz w:val="24"/>
          <w:szCs w:val="24"/>
        </w:rPr>
        <w:t xml:space="preserve">remuneração </w:t>
      </w:r>
      <w:r w:rsidR="004373D4" w:rsidRPr="00B64E4A">
        <w:rPr>
          <w:rFonts w:ascii="Times New Roman" w:hAnsi="Times New Roman" w:cs="Times New Roman"/>
          <w:sz w:val="24"/>
          <w:szCs w:val="24"/>
        </w:rPr>
        <w:t>d</w:t>
      </w:r>
      <w:r w:rsidRPr="00F8538E">
        <w:rPr>
          <w:rFonts w:ascii="Times New Roman" w:hAnsi="Times New Roman" w:cs="Times New Roman"/>
          <w:sz w:val="24"/>
          <w:szCs w:val="24"/>
        </w:rPr>
        <w:t xml:space="preserve">a sobra de caixa dos bancos. Os bancos precisam </w:t>
      </w:r>
      <w:r w:rsidR="00AF739E" w:rsidRPr="00F8538E">
        <w:rPr>
          <w:rFonts w:ascii="Times New Roman" w:hAnsi="Times New Roman" w:cs="Times New Roman"/>
          <w:sz w:val="24"/>
          <w:szCs w:val="24"/>
        </w:rPr>
        <w:t xml:space="preserve">depositar obrigatoriamente </w:t>
      </w:r>
      <w:r w:rsidR="007B04C3" w:rsidRPr="00F8538E">
        <w:rPr>
          <w:rFonts w:ascii="Times New Roman" w:hAnsi="Times New Roman" w:cs="Times New Roman"/>
          <w:sz w:val="24"/>
          <w:szCs w:val="24"/>
        </w:rPr>
        <w:t xml:space="preserve">(depósito compulsório) </w:t>
      </w:r>
      <w:r w:rsidR="00AF739E" w:rsidRPr="00F8538E">
        <w:rPr>
          <w:rFonts w:ascii="Times New Roman" w:hAnsi="Times New Roman" w:cs="Times New Roman"/>
          <w:sz w:val="24"/>
          <w:szCs w:val="24"/>
        </w:rPr>
        <w:t xml:space="preserve">uma certa quantia no BC. </w:t>
      </w:r>
      <w:r w:rsidR="002C38E3" w:rsidRPr="00B64E4A">
        <w:rPr>
          <w:rFonts w:ascii="Times New Roman" w:hAnsi="Times New Roman" w:cs="Times New Roman"/>
          <w:sz w:val="24"/>
          <w:szCs w:val="24"/>
        </w:rPr>
        <w:t>O</w:t>
      </w:r>
      <w:r w:rsidR="002C38E3" w:rsidRPr="00F8538E">
        <w:rPr>
          <w:rFonts w:ascii="Times New Roman" w:hAnsi="Times New Roman" w:cs="Times New Roman"/>
          <w:sz w:val="24"/>
          <w:szCs w:val="24"/>
        </w:rPr>
        <w:t xml:space="preserve"> </w:t>
      </w:r>
      <w:r w:rsidR="00AF739E" w:rsidRPr="00F8538E">
        <w:rPr>
          <w:rFonts w:ascii="Times New Roman" w:hAnsi="Times New Roman" w:cs="Times New Roman"/>
          <w:sz w:val="24"/>
          <w:szCs w:val="24"/>
        </w:rPr>
        <w:t xml:space="preserve">dinheiro que sobra, que é proveniente de depósitos e aplicações de clientes, deveria </w:t>
      </w:r>
      <w:r w:rsidR="002C38E3" w:rsidRPr="00B64E4A">
        <w:rPr>
          <w:rFonts w:ascii="Times New Roman" w:hAnsi="Times New Roman" w:cs="Times New Roman"/>
          <w:sz w:val="24"/>
          <w:szCs w:val="24"/>
        </w:rPr>
        <w:t xml:space="preserve">ser </w:t>
      </w:r>
      <w:r w:rsidR="00AF739E" w:rsidRPr="00B64E4A">
        <w:rPr>
          <w:rFonts w:ascii="Times New Roman" w:hAnsi="Times New Roman" w:cs="Times New Roman"/>
          <w:sz w:val="24"/>
          <w:szCs w:val="24"/>
        </w:rPr>
        <w:t>utiliza</w:t>
      </w:r>
      <w:r w:rsidR="002C38E3" w:rsidRPr="00B64E4A">
        <w:rPr>
          <w:rFonts w:ascii="Times New Roman" w:hAnsi="Times New Roman" w:cs="Times New Roman"/>
          <w:sz w:val="24"/>
          <w:szCs w:val="24"/>
        </w:rPr>
        <w:t>do</w:t>
      </w:r>
      <w:r w:rsidR="00AF739E" w:rsidRPr="00F8538E">
        <w:rPr>
          <w:rFonts w:ascii="Times New Roman" w:hAnsi="Times New Roman" w:cs="Times New Roman"/>
          <w:sz w:val="24"/>
          <w:szCs w:val="24"/>
        </w:rPr>
        <w:t xml:space="preserve"> para empréstimos para clientes e</w:t>
      </w:r>
      <w:r w:rsidR="00F04707" w:rsidRPr="00F8538E">
        <w:rPr>
          <w:rFonts w:ascii="Times New Roman" w:hAnsi="Times New Roman" w:cs="Times New Roman"/>
          <w:sz w:val="24"/>
          <w:szCs w:val="24"/>
        </w:rPr>
        <w:t>,</w:t>
      </w:r>
      <w:r w:rsidR="00AF739E" w:rsidRPr="00F8538E">
        <w:rPr>
          <w:rFonts w:ascii="Times New Roman" w:hAnsi="Times New Roman" w:cs="Times New Roman"/>
          <w:sz w:val="24"/>
          <w:szCs w:val="24"/>
        </w:rPr>
        <w:t xml:space="preserve"> com isso</w:t>
      </w:r>
      <w:r w:rsidR="00F04707" w:rsidRPr="00F8538E">
        <w:rPr>
          <w:rFonts w:ascii="Times New Roman" w:hAnsi="Times New Roman" w:cs="Times New Roman"/>
          <w:sz w:val="24"/>
          <w:szCs w:val="24"/>
        </w:rPr>
        <w:t>,</w:t>
      </w:r>
      <w:r w:rsidR="00AF739E" w:rsidRPr="00F8538E">
        <w:rPr>
          <w:rFonts w:ascii="Times New Roman" w:hAnsi="Times New Roman" w:cs="Times New Roman"/>
          <w:sz w:val="24"/>
          <w:szCs w:val="24"/>
        </w:rPr>
        <w:t xml:space="preserve"> teriam </w:t>
      </w:r>
      <w:r w:rsidR="00433D67" w:rsidRPr="00F8538E">
        <w:rPr>
          <w:rFonts w:ascii="Times New Roman" w:hAnsi="Times New Roman" w:cs="Times New Roman"/>
          <w:sz w:val="24"/>
          <w:szCs w:val="24"/>
        </w:rPr>
        <w:t>que ter</w:t>
      </w:r>
      <w:r w:rsidR="00F04707" w:rsidRPr="00F8538E">
        <w:rPr>
          <w:rFonts w:ascii="Times New Roman" w:hAnsi="Times New Roman" w:cs="Times New Roman"/>
          <w:sz w:val="24"/>
          <w:szCs w:val="24"/>
        </w:rPr>
        <w:t xml:space="preserve"> </w:t>
      </w:r>
      <w:r w:rsidR="00433D67" w:rsidRPr="00F8538E">
        <w:rPr>
          <w:rFonts w:ascii="Times New Roman" w:hAnsi="Times New Roman" w:cs="Times New Roman"/>
          <w:sz w:val="24"/>
          <w:szCs w:val="24"/>
        </w:rPr>
        <w:t>baixas</w:t>
      </w:r>
      <w:r w:rsidR="00117643" w:rsidRPr="00F8538E">
        <w:rPr>
          <w:rFonts w:ascii="Times New Roman" w:hAnsi="Times New Roman" w:cs="Times New Roman"/>
          <w:sz w:val="24"/>
          <w:szCs w:val="24"/>
        </w:rPr>
        <w:t xml:space="preserve"> taxas</w:t>
      </w:r>
      <w:r w:rsidR="00433D67" w:rsidRPr="00F8538E">
        <w:rPr>
          <w:rFonts w:ascii="Times New Roman" w:hAnsi="Times New Roman" w:cs="Times New Roman"/>
          <w:sz w:val="24"/>
          <w:szCs w:val="24"/>
        </w:rPr>
        <w:t xml:space="preserve"> de juros</w:t>
      </w:r>
      <w:r w:rsidR="002C38E3" w:rsidRPr="00F8538E">
        <w:rPr>
          <w:rFonts w:ascii="Times New Roman" w:hAnsi="Times New Roman" w:cs="Times New Roman"/>
          <w:sz w:val="24"/>
          <w:szCs w:val="24"/>
        </w:rPr>
        <w:t>,</w:t>
      </w:r>
      <w:r w:rsidR="00433D67" w:rsidRPr="00F8538E">
        <w:rPr>
          <w:rFonts w:ascii="Times New Roman" w:hAnsi="Times New Roman" w:cs="Times New Roman"/>
          <w:sz w:val="24"/>
          <w:szCs w:val="24"/>
        </w:rPr>
        <w:t xml:space="preserve"> </w:t>
      </w:r>
      <w:r w:rsidR="002C38E3" w:rsidRPr="00B64E4A">
        <w:rPr>
          <w:rFonts w:ascii="Times New Roman" w:hAnsi="Times New Roman" w:cs="Times New Roman"/>
          <w:sz w:val="24"/>
          <w:szCs w:val="24"/>
        </w:rPr>
        <w:t>de modo</w:t>
      </w:r>
      <w:r w:rsidR="00433D67" w:rsidRPr="00F8538E">
        <w:rPr>
          <w:rFonts w:ascii="Times New Roman" w:hAnsi="Times New Roman" w:cs="Times New Roman"/>
          <w:sz w:val="24"/>
          <w:szCs w:val="24"/>
        </w:rPr>
        <w:t xml:space="preserve"> que o dinheiro não ficasse parado em caixa.</w:t>
      </w:r>
      <w:r w:rsidR="002643C6" w:rsidRPr="00F8538E">
        <w:rPr>
          <w:rFonts w:ascii="Times New Roman" w:hAnsi="Times New Roman" w:cs="Times New Roman"/>
          <w:sz w:val="24"/>
          <w:szCs w:val="24"/>
        </w:rPr>
        <w:t xml:space="preserve"> </w:t>
      </w:r>
      <w:r w:rsidR="002C38E3" w:rsidRPr="00B64E4A">
        <w:rPr>
          <w:rFonts w:ascii="Times New Roman" w:hAnsi="Times New Roman" w:cs="Times New Roman"/>
          <w:sz w:val="24"/>
          <w:szCs w:val="24"/>
        </w:rPr>
        <w:t>Entretanto</w:t>
      </w:r>
      <w:r w:rsidR="002643C6" w:rsidRPr="00F8538E">
        <w:rPr>
          <w:rFonts w:ascii="Times New Roman" w:hAnsi="Times New Roman" w:cs="Times New Roman"/>
          <w:sz w:val="24"/>
          <w:szCs w:val="24"/>
        </w:rPr>
        <w:t>, não é isso que acontece.</w:t>
      </w:r>
      <w:r w:rsidR="005F0746" w:rsidRPr="00F8538E">
        <w:rPr>
          <w:rFonts w:ascii="Times New Roman" w:hAnsi="Times New Roman" w:cs="Times New Roman"/>
          <w:sz w:val="24"/>
          <w:szCs w:val="24"/>
        </w:rPr>
        <w:t xml:space="preserve"> O BC remunera os bancos diariamente pela sobra de caixa</w:t>
      </w:r>
      <w:r w:rsidR="002C38E3" w:rsidRPr="00F8538E">
        <w:rPr>
          <w:rFonts w:ascii="Times New Roman" w:hAnsi="Times New Roman" w:cs="Times New Roman"/>
          <w:sz w:val="24"/>
          <w:szCs w:val="24"/>
        </w:rPr>
        <w:t xml:space="preserve"> </w:t>
      </w:r>
      <w:r w:rsidR="002C38E3" w:rsidRPr="00B64E4A">
        <w:rPr>
          <w:rFonts w:ascii="Times New Roman" w:hAnsi="Times New Roman" w:cs="Times New Roman"/>
          <w:sz w:val="24"/>
          <w:szCs w:val="24"/>
        </w:rPr>
        <w:t>através de sua troca por títulos da dívida (operações compromissadas)</w:t>
      </w:r>
      <w:r w:rsidR="005F0746" w:rsidRPr="00B64E4A">
        <w:rPr>
          <w:rFonts w:ascii="Times New Roman" w:hAnsi="Times New Roman" w:cs="Times New Roman"/>
          <w:sz w:val="24"/>
          <w:szCs w:val="24"/>
        </w:rPr>
        <w:t>.</w:t>
      </w:r>
      <w:r w:rsidR="005F0746" w:rsidRPr="00F8538E">
        <w:rPr>
          <w:rFonts w:ascii="Times New Roman" w:hAnsi="Times New Roman" w:cs="Times New Roman"/>
          <w:sz w:val="24"/>
          <w:szCs w:val="24"/>
        </w:rPr>
        <w:t xml:space="preserve"> Isso faz com que os bancos não se interessem em realizar empréstimos a taxas baixas</w:t>
      </w:r>
      <w:r w:rsidR="00F04707" w:rsidRPr="00F8538E">
        <w:rPr>
          <w:rFonts w:ascii="Times New Roman" w:hAnsi="Times New Roman" w:cs="Times New Roman"/>
          <w:sz w:val="24"/>
          <w:szCs w:val="24"/>
        </w:rPr>
        <w:t>,</w:t>
      </w:r>
      <w:r w:rsidR="005F0746" w:rsidRPr="00F8538E">
        <w:rPr>
          <w:rFonts w:ascii="Times New Roman" w:hAnsi="Times New Roman" w:cs="Times New Roman"/>
          <w:sz w:val="24"/>
          <w:szCs w:val="24"/>
        </w:rPr>
        <w:t xml:space="preserve"> já que recebem dinheiro garantido por parte do B</w:t>
      </w:r>
      <w:r w:rsidR="007B0268" w:rsidRPr="00F8538E">
        <w:rPr>
          <w:rFonts w:ascii="Times New Roman" w:hAnsi="Times New Roman" w:cs="Times New Roman"/>
          <w:sz w:val="24"/>
          <w:szCs w:val="24"/>
        </w:rPr>
        <w:t xml:space="preserve">C. Esse tipo de remuneração garantiu cerca de R$ 1 trilhão </w:t>
      </w:r>
      <w:r w:rsidR="00F04707" w:rsidRPr="00B64E4A">
        <w:rPr>
          <w:rFonts w:ascii="Times New Roman" w:hAnsi="Times New Roman" w:cs="Times New Roman"/>
          <w:sz w:val="24"/>
          <w:szCs w:val="24"/>
        </w:rPr>
        <w:t>de juros pagos com</w:t>
      </w:r>
      <w:r w:rsidR="00294D9F" w:rsidRPr="00F8538E">
        <w:rPr>
          <w:rFonts w:ascii="Times New Roman" w:hAnsi="Times New Roman" w:cs="Times New Roman"/>
          <w:sz w:val="24"/>
          <w:szCs w:val="24"/>
        </w:rPr>
        <w:t xml:space="preserve"> recursos públicos </w:t>
      </w:r>
      <w:r w:rsidR="007B0268" w:rsidRPr="00F8538E">
        <w:rPr>
          <w:rFonts w:ascii="Times New Roman" w:hAnsi="Times New Roman" w:cs="Times New Roman"/>
          <w:sz w:val="24"/>
          <w:szCs w:val="24"/>
        </w:rPr>
        <w:t>para os bancos em um período de 10 anos</w:t>
      </w:r>
      <w:r w:rsidR="002D01CD" w:rsidRPr="00F8538E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2D01CD" w:rsidRPr="001344EE">
          <w:rPr>
            <w:rStyle w:val="Hyperlink"/>
            <w:rFonts w:ascii="Times New Roman" w:hAnsi="Times New Roman" w:cs="Times New Roman"/>
            <w:color w:val="4472C4" w:themeColor="accent1"/>
            <w:sz w:val="24"/>
            <w:szCs w:val="24"/>
          </w:rPr>
          <w:t>(v</w:t>
        </w:r>
        <w:r w:rsidR="000600D1">
          <w:rPr>
            <w:rStyle w:val="Hyperlink"/>
            <w:rFonts w:ascii="Times New Roman" w:hAnsi="Times New Roman" w:cs="Times New Roman"/>
            <w:color w:val="4472C4" w:themeColor="accent1"/>
            <w:sz w:val="24"/>
            <w:szCs w:val="24"/>
          </w:rPr>
          <w:t>i</w:t>
        </w:r>
        <w:r w:rsidR="002D01CD" w:rsidRPr="001344EE">
          <w:rPr>
            <w:rStyle w:val="Hyperlink"/>
            <w:rFonts w:ascii="Times New Roman" w:hAnsi="Times New Roman" w:cs="Times New Roman"/>
            <w:color w:val="4472C4" w:themeColor="accent1"/>
            <w:sz w:val="24"/>
            <w:szCs w:val="24"/>
          </w:rPr>
          <w:t>)</w:t>
        </w:r>
      </w:hyperlink>
      <w:r w:rsidR="005F0746" w:rsidRPr="00F8538E">
        <w:rPr>
          <w:rFonts w:ascii="Times New Roman" w:hAnsi="Times New Roman" w:cs="Times New Roman"/>
          <w:sz w:val="24"/>
          <w:szCs w:val="24"/>
        </w:rPr>
        <w:t>.</w:t>
      </w:r>
      <w:r w:rsidR="00294D9F" w:rsidRPr="00F853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1B93E6" w14:textId="296679C3" w:rsidR="002D01CD" w:rsidRPr="00F8538E" w:rsidRDefault="002C6313" w:rsidP="00F85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38E">
        <w:rPr>
          <w:rFonts w:ascii="Times New Roman" w:hAnsi="Times New Roman" w:cs="Times New Roman"/>
          <w:sz w:val="24"/>
          <w:szCs w:val="24"/>
        </w:rPr>
        <w:t xml:space="preserve">Em um mundo em que impera o Sistema da </w:t>
      </w:r>
      <w:r w:rsidR="00D22738" w:rsidRPr="00F8538E">
        <w:rPr>
          <w:rFonts w:ascii="Times New Roman" w:hAnsi="Times New Roman" w:cs="Times New Roman"/>
          <w:sz w:val="24"/>
          <w:szCs w:val="24"/>
        </w:rPr>
        <w:t>Dívida</w:t>
      </w:r>
      <w:r w:rsidRPr="00F8538E">
        <w:rPr>
          <w:rFonts w:ascii="Times New Roman" w:hAnsi="Times New Roman" w:cs="Times New Roman"/>
          <w:sz w:val="24"/>
          <w:szCs w:val="24"/>
        </w:rPr>
        <w:t xml:space="preserve">, a única soberania que parece existir é a do capital financeiro, que </w:t>
      </w:r>
      <w:r w:rsidR="00D22738" w:rsidRPr="00F8538E">
        <w:rPr>
          <w:rFonts w:ascii="Times New Roman" w:hAnsi="Times New Roman" w:cs="Times New Roman"/>
          <w:sz w:val="24"/>
          <w:szCs w:val="24"/>
        </w:rPr>
        <w:t>subordina</w:t>
      </w:r>
      <w:r w:rsidRPr="00F8538E">
        <w:rPr>
          <w:rFonts w:ascii="Times New Roman" w:hAnsi="Times New Roman" w:cs="Times New Roman"/>
          <w:sz w:val="24"/>
          <w:szCs w:val="24"/>
        </w:rPr>
        <w:t xml:space="preserve"> Estados </w:t>
      </w:r>
      <w:r w:rsidR="00D22738" w:rsidRPr="00F8538E">
        <w:rPr>
          <w:rFonts w:ascii="Times New Roman" w:hAnsi="Times New Roman" w:cs="Times New Roman"/>
          <w:sz w:val="24"/>
          <w:szCs w:val="24"/>
        </w:rPr>
        <w:t xml:space="preserve">e povos. Diante de uma </w:t>
      </w:r>
      <w:r w:rsidR="00DD0EDD" w:rsidRPr="00B64E4A">
        <w:rPr>
          <w:rFonts w:ascii="Times New Roman" w:hAnsi="Times New Roman" w:cs="Times New Roman"/>
          <w:sz w:val="24"/>
          <w:szCs w:val="24"/>
        </w:rPr>
        <w:t>dívida</w:t>
      </w:r>
      <w:r w:rsidR="00D22738" w:rsidRPr="00F8538E">
        <w:rPr>
          <w:rFonts w:ascii="Times New Roman" w:hAnsi="Times New Roman" w:cs="Times New Roman"/>
          <w:sz w:val="24"/>
          <w:szCs w:val="24"/>
        </w:rPr>
        <w:t xml:space="preserve"> expressiva</w:t>
      </w:r>
      <w:r w:rsidR="00DD0EDD" w:rsidRPr="00F8538E">
        <w:rPr>
          <w:rFonts w:ascii="Times New Roman" w:hAnsi="Times New Roman" w:cs="Times New Roman"/>
          <w:sz w:val="24"/>
          <w:szCs w:val="24"/>
        </w:rPr>
        <w:t xml:space="preserve"> </w:t>
      </w:r>
      <w:r w:rsidR="00DD0EDD" w:rsidRPr="00B64E4A">
        <w:rPr>
          <w:rFonts w:ascii="Times New Roman" w:hAnsi="Times New Roman" w:cs="Times New Roman"/>
          <w:sz w:val="24"/>
          <w:szCs w:val="24"/>
        </w:rPr>
        <w:t xml:space="preserve">e cheia </w:t>
      </w:r>
      <w:r w:rsidR="00B64E4A">
        <w:rPr>
          <w:rFonts w:ascii="Times New Roman" w:hAnsi="Times New Roman" w:cs="Times New Roman"/>
          <w:sz w:val="24"/>
          <w:szCs w:val="24"/>
        </w:rPr>
        <w:t>de</w:t>
      </w:r>
      <w:r w:rsidR="00D22738" w:rsidRPr="00F8538E">
        <w:rPr>
          <w:rFonts w:ascii="Times New Roman" w:hAnsi="Times New Roman" w:cs="Times New Roman"/>
          <w:sz w:val="24"/>
          <w:szCs w:val="24"/>
        </w:rPr>
        <w:t xml:space="preserve"> indícios de irregularidades, é essencial ser realizada a auditoria para garantir investimentos sociais que garantam a formação integral do indivíduo e o desenvolvimento do país.</w:t>
      </w:r>
    </w:p>
    <w:sectPr w:rsidR="002D01CD" w:rsidRPr="00F853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F30AF" w14:textId="77777777" w:rsidR="00156A2E" w:rsidRDefault="00156A2E" w:rsidP="00117643">
      <w:pPr>
        <w:spacing w:after="0" w:line="240" w:lineRule="auto"/>
      </w:pPr>
      <w:r>
        <w:separator/>
      </w:r>
    </w:p>
  </w:endnote>
  <w:endnote w:type="continuationSeparator" w:id="0">
    <w:p w14:paraId="4E2D8D65" w14:textId="77777777" w:rsidR="00156A2E" w:rsidRDefault="00156A2E" w:rsidP="00117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3DD38" w14:textId="77777777" w:rsidR="00156A2E" w:rsidRDefault="00156A2E" w:rsidP="00117643">
      <w:pPr>
        <w:spacing w:after="0" w:line="240" w:lineRule="auto"/>
      </w:pPr>
      <w:r>
        <w:separator/>
      </w:r>
    </w:p>
  </w:footnote>
  <w:footnote w:type="continuationSeparator" w:id="0">
    <w:p w14:paraId="36F86D7E" w14:textId="77777777" w:rsidR="00156A2E" w:rsidRDefault="00156A2E" w:rsidP="00117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D02991"/>
    <w:multiLevelType w:val="hybridMultilevel"/>
    <w:tmpl w:val="0A0E05B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6BE32506"/>
    <w:multiLevelType w:val="hybridMultilevel"/>
    <w:tmpl w:val="40DA7870"/>
    <w:lvl w:ilvl="0" w:tplc="FABEE53E">
      <w:start w:val="1"/>
      <w:numFmt w:val="lowerRoman"/>
      <w:lvlText w:val="(%1)"/>
      <w:lvlJc w:val="left"/>
      <w:pPr>
        <w:ind w:left="1429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A7C"/>
    <w:rsid w:val="00005067"/>
    <w:rsid w:val="00040A05"/>
    <w:rsid w:val="00051045"/>
    <w:rsid w:val="000600D1"/>
    <w:rsid w:val="00085350"/>
    <w:rsid w:val="000C2613"/>
    <w:rsid w:val="000D53BC"/>
    <w:rsid w:val="001064C6"/>
    <w:rsid w:val="00117643"/>
    <w:rsid w:val="001344EE"/>
    <w:rsid w:val="00156A2E"/>
    <w:rsid w:val="00177C6C"/>
    <w:rsid w:val="00194E9A"/>
    <w:rsid w:val="001C470E"/>
    <w:rsid w:val="001F1ECC"/>
    <w:rsid w:val="002643C6"/>
    <w:rsid w:val="00294D9F"/>
    <w:rsid w:val="002A6E50"/>
    <w:rsid w:val="002C38E3"/>
    <w:rsid w:val="002C5CA3"/>
    <w:rsid w:val="002C6313"/>
    <w:rsid w:val="002C7EB4"/>
    <w:rsid w:val="002D01CD"/>
    <w:rsid w:val="002E0B3C"/>
    <w:rsid w:val="002F13F1"/>
    <w:rsid w:val="002F154E"/>
    <w:rsid w:val="00310C5E"/>
    <w:rsid w:val="003862D8"/>
    <w:rsid w:val="003A582F"/>
    <w:rsid w:val="00422270"/>
    <w:rsid w:val="00433D67"/>
    <w:rsid w:val="004373D4"/>
    <w:rsid w:val="00496FBB"/>
    <w:rsid w:val="004E4F35"/>
    <w:rsid w:val="00527092"/>
    <w:rsid w:val="005570BA"/>
    <w:rsid w:val="00583BC0"/>
    <w:rsid w:val="00584A26"/>
    <w:rsid w:val="005F0746"/>
    <w:rsid w:val="00601515"/>
    <w:rsid w:val="006321BA"/>
    <w:rsid w:val="00635E3F"/>
    <w:rsid w:val="00752171"/>
    <w:rsid w:val="00765689"/>
    <w:rsid w:val="00777582"/>
    <w:rsid w:val="00787BAE"/>
    <w:rsid w:val="007B0268"/>
    <w:rsid w:val="007B04C3"/>
    <w:rsid w:val="007B15F8"/>
    <w:rsid w:val="007E6D24"/>
    <w:rsid w:val="00840809"/>
    <w:rsid w:val="00850296"/>
    <w:rsid w:val="00897E4B"/>
    <w:rsid w:val="008B4F45"/>
    <w:rsid w:val="009564E2"/>
    <w:rsid w:val="00984674"/>
    <w:rsid w:val="009F11A1"/>
    <w:rsid w:val="00A4340D"/>
    <w:rsid w:val="00A60102"/>
    <w:rsid w:val="00A81FE8"/>
    <w:rsid w:val="00A866FA"/>
    <w:rsid w:val="00AD49AB"/>
    <w:rsid w:val="00AF739E"/>
    <w:rsid w:val="00B07D93"/>
    <w:rsid w:val="00B64E4A"/>
    <w:rsid w:val="00B9550B"/>
    <w:rsid w:val="00D15288"/>
    <w:rsid w:val="00D22738"/>
    <w:rsid w:val="00D57A7C"/>
    <w:rsid w:val="00D616C1"/>
    <w:rsid w:val="00DD0EDD"/>
    <w:rsid w:val="00DD1693"/>
    <w:rsid w:val="00DF1BDE"/>
    <w:rsid w:val="00E1199B"/>
    <w:rsid w:val="00E42B58"/>
    <w:rsid w:val="00E47733"/>
    <w:rsid w:val="00E62C5C"/>
    <w:rsid w:val="00ED2E37"/>
    <w:rsid w:val="00EF3672"/>
    <w:rsid w:val="00F04707"/>
    <w:rsid w:val="00F8538E"/>
    <w:rsid w:val="00F9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664EC0"/>
  <w15:docId w15:val="{7566EC03-C96A-42CF-AB77-08A3AD91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C7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EB4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1764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1764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1764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D01C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D01C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D01CD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60151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96F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ditoriacidada.org.br/conteudo/gastos-com-a-divida-publica-cresceram-33-em-2020/" TargetMode="External"/><Relationship Id="rId13" Type="http://schemas.openxmlformats.org/officeDocument/2006/relationships/hyperlink" Target="https://auditoriacidada.org.br/conteudo/por-que-gastar-trilhoes-para-comprar-papel-podre-analise-da-circular-4-028-do-banco-central-por-maria-lucia-fattorell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uditoriacidada.org.br/conteudo/para-que-tem-servido-a-divida-publica-no-brasil-por-maria-lucia-fattorell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uditoriacidada.org.br/conteudo/para-que-tem-servido-a-divida-publica-no-brasil-por-maria-lucia-fattorell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uditoriacidada.org.br/conteudo/graficos-de-pizza-do-orcamento-geral-da-uniao-executado-2011-2018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auditoriacidada.org.br/conteudo/extra-classe-banco-central-gasta-centenas-de-bilhoes-para-remunerar-sobra-de-caixa-dos-bancos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BA0B7-AF0C-4925-B830-583DDBD9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1972</TotalTime>
  <Pages>3</Pages>
  <Words>810</Words>
  <Characters>4213</Characters>
  <Application>Microsoft Office Word</Application>
  <DocSecurity>0</DocSecurity>
  <Lines>75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24</cp:revision>
  <dcterms:created xsi:type="dcterms:W3CDTF">2021-01-29T07:22:00Z</dcterms:created>
  <dcterms:modified xsi:type="dcterms:W3CDTF">2021-05-01T01:53:00Z</dcterms:modified>
</cp:coreProperties>
</file>